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42" w:rsidRPr="00746355" w:rsidRDefault="00746355" w:rsidP="00746355">
      <w:pPr>
        <w:jc w:val="center"/>
        <w:rPr>
          <w:b/>
          <w:u w:val="single"/>
        </w:rPr>
      </w:pPr>
      <w:r w:rsidRPr="00746355">
        <w:rPr>
          <w:b/>
          <w:u w:val="single"/>
        </w:rPr>
        <w:t>RESUMEN CONGRESO REGIONAL EXPLORA DE INVESTIGACIÓN E INNOVACIÓN ESCOLAR</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El “Congreso Regional de Investigación e Innovación Escolar” desarrollado por el Proyecto Asociativo Regional PAR Explora Coquimbo es un espacio de socialización, donde estudiantes de 5° año de educación básica a 4° año de educación media, de establecimientos públicos, particulares subvencionados, particulares pagados, otras entidades (fundaciones, universidades, u otros afines donde se realice investigación e innovación escolar) y equipos que estén en la modalidad "aprendizaje en casa", presentan los resultados de sus proyectos de investigación o innovación escolar. A su vez es un espacio para compartir, conocer e interactuar con otros niños, niñas y adolescentes de diferentes localidades y contextos. Además, el Congreso Regional es la instancia para la selección de los equipos que representarán a las comunidades educativas en el Congreso Nacional Explora de Investigación e Innovación Escolar.  </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Este instrumento plantea los siguientes objetivos:</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a) Socializar los resultados de los proyectos de investigación e innovación escolar a través de una exposición, con lenguaje claro y preciso, que les permita a niñas, niños y adolescentes desarrollar habilidades comunicacionales y de argumentación en un espacio estimulante donde se relacionan con distintos/as estudiantes.</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b) Motivar a estudiantes y docentes a desarrollar mayor investigación y/o innovación</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escolar.</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Bold" w:hAnsi="Verdana-Bold" w:cs="Verdana-Bold"/>
          <w:b/>
          <w:bCs/>
          <w:sz w:val="20"/>
          <w:szCs w:val="20"/>
        </w:rPr>
      </w:pPr>
      <w:r>
        <w:rPr>
          <w:rFonts w:ascii="Verdana-Bold" w:hAnsi="Verdana-Bold" w:cs="Verdana-Bold"/>
          <w:b/>
          <w:bCs/>
          <w:sz w:val="20"/>
          <w:szCs w:val="20"/>
        </w:rPr>
        <w:t>¿QUIÉNES PUEDEN POSTULAR?</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Equipos conformados por estudiantes y su docente guía, que hayan realizado proyectos de investigación e innovación escolar. Los equipos deberán haber concluido el proceso de investigación o innovación (según indica el formulario único de postulación) previo a realizar la postulación y cumplir con todos los requisitos indicados en las bases de postulación.</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Los equipos postulantes se clasificarán de acuerdo con los siguientes niveles:</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Educación Básica: equipos en que más del 50% de sus integrantes cursen, durante el año de postulación, entre 5° y 8° año de educación básica.</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Educación Media: equipo en que más del 50% de sus integrantes cursen, durante el año de postulación, entre 1° y 4° año de educación media</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Bold" w:hAnsi="Verdana-Bold" w:cs="Verdana-Bold"/>
          <w:b/>
          <w:bCs/>
          <w:sz w:val="20"/>
          <w:szCs w:val="20"/>
        </w:rPr>
      </w:pPr>
      <w:r>
        <w:rPr>
          <w:rFonts w:ascii="Verdana-Bold" w:hAnsi="Verdana-Bold" w:cs="Verdana-Bold"/>
          <w:b/>
          <w:bCs/>
          <w:sz w:val="20"/>
          <w:szCs w:val="20"/>
        </w:rPr>
        <w:t>CATEGORÍAS</w:t>
      </w:r>
    </w:p>
    <w:p w:rsidR="00746355" w:rsidRDefault="00746355" w:rsidP="00746355">
      <w:pPr>
        <w:autoSpaceDE w:val="0"/>
        <w:autoSpaceDN w:val="0"/>
        <w:adjustRightInd w:val="0"/>
        <w:spacing w:after="0" w:line="240" w:lineRule="auto"/>
        <w:jc w:val="both"/>
        <w:rPr>
          <w:rFonts w:ascii="Verdana-Bold" w:hAnsi="Verdana-Bold" w:cs="Verdana-Bold"/>
          <w:b/>
          <w:bCs/>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Los equipos interesados/as en postular al Congreso Regional Explora de Investigación e Innovación Escolar Coquimbo podrán presentar proyectos en las siguientes categorías:</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Pr="00746355" w:rsidRDefault="00746355" w:rsidP="00746355">
      <w:pPr>
        <w:autoSpaceDE w:val="0"/>
        <w:autoSpaceDN w:val="0"/>
        <w:adjustRightInd w:val="0"/>
        <w:spacing w:after="0" w:line="240" w:lineRule="auto"/>
        <w:jc w:val="both"/>
        <w:rPr>
          <w:rFonts w:ascii="Verdana" w:hAnsi="Verdana" w:cs="Verdana"/>
          <w:sz w:val="20"/>
          <w:szCs w:val="20"/>
          <w:u w:val="single"/>
        </w:rPr>
      </w:pPr>
      <w:r w:rsidRPr="00746355">
        <w:rPr>
          <w:rFonts w:ascii="Verdana" w:hAnsi="Verdana" w:cs="Verdana"/>
          <w:sz w:val="20"/>
          <w:szCs w:val="20"/>
          <w:u w:val="single"/>
        </w:rPr>
        <w:t>Categoría 1: Investigación</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Las investigaciones deberán haberse desarrollado a partir de una pregunta definida por las/los estudiantes que, a través de una metodología de investigación, se buscó responder. Las investigaciones deberán ser enmarcadas en las siguientes disciplinas: (1) Ciencias Naturales y/o exactas, (2) Ciencias Sociales o (3) Artes y Humanidades.</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Pr="00746355" w:rsidRDefault="00746355" w:rsidP="00746355">
      <w:pPr>
        <w:autoSpaceDE w:val="0"/>
        <w:autoSpaceDN w:val="0"/>
        <w:adjustRightInd w:val="0"/>
        <w:spacing w:after="0" w:line="240" w:lineRule="auto"/>
        <w:jc w:val="both"/>
        <w:rPr>
          <w:rFonts w:ascii="Verdana" w:hAnsi="Verdana" w:cs="Verdana"/>
          <w:sz w:val="20"/>
          <w:szCs w:val="20"/>
          <w:u w:val="single"/>
        </w:rPr>
      </w:pPr>
      <w:r w:rsidRPr="00746355">
        <w:rPr>
          <w:rFonts w:ascii="Verdana" w:hAnsi="Verdana" w:cs="Verdana"/>
          <w:sz w:val="20"/>
          <w:szCs w:val="20"/>
          <w:u w:val="single"/>
        </w:rPr>
        <w:t>Categoría 2: Innovación</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Los proyectos de innovación deberán haberse desarrollado a partir de un problema o necesidad detectada por las/los estudiantes que, a partir de soluciones innovadoras de base científico - tecnológica, se buscó resolver</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lastRenderedPageBreak/>
        <w:t>ADMISIBILIDAD</w:t>
      </w:r>
    </w:p>
    <w:p w:rsidR="00746355" w:rsidRDefault="00746355" w:rsidP="00746355">
      <w:pPr>
        <w:autoSpaceDE w:val="0"/>
        <w:autoSpaceDN w:val="0"/>
        <w:adjustRightInd w:val="0"/>
        <w:spacing w:after="0" w:line="240" w:lineRule="auto"/>
        <w:rPr>
          <w:rFonts w:ascii="Verdana-Bold" w:hAnsi="Verdana-Bold" w:cs="Verdana-Bold"/>
          <w:b/>
          <w:bCs/>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Las postulaciones </w:t>
      </w:r>
      <w:proofErr w:type="spellStart"/>
      <w:r>
        <w:rPr>
          <w:rFonts w:ascii="Verdana" w:hAnsi="Verdana" w:cs="Verdana"/>
          <w:sz w:val="20"/>
          <w:szCs w:val="20"/>
        </w:rPr>
        <w:t>recepcionadas</w:t>
      </w:r>
      <w:proofErr w:type="spellEnd"/>
      <w:r>
        <w:rPr>
          <w:rFonts w:ascii="Verdana" w:hAnsi="Verdana" w:cs="Verdana"/>
          <w:sz w:val="20"/>
          <w:szCs w:val="20"/>
        </w:rPr>
        <w:t xml:space="preserve"> hasta el plazo establecido, serán revisada por el Equipo Explora Antofagasta, verificando la entrega de todos los documentos de acuerdo con el proyecto de investigación. En caso de ser admisibles serán evaluados por el Comité Científico Evaluador (CCE). En el caso de ser inadmisibles será informado al momento de publicar los resultados.</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Es importante que toda la documentación previamente se encuentre entregada.</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SELECCIÓN Y EVALUACIÓN</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Los proyectos admisibles, serán evaluados por el CCE, compuestos por especialistas en las diversas áreas del conocimiento humano que no tengan vinculación alguna con el equipo Explora Antofagasta y que no hayan asesorado a ninguno de los equipos de investigación postulantes.</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El puntaje final de cada equipo corresponderá al promedio de los puntajes de las evaluaciones de cada una de las instancias (Informe escrito y video resumen), que serán ponderadas según las siguientes especificaciones:</w:t>
      </w:r>
    </w:p>
    <w:p w:rsidR="00746355" w:rsidRDefault="00746355" w:rsidP="00746355">
      <w:pPr>
        <w:autoSpaceDE w:val="0"/>
        <w:autoSpaceDN w:val="0"/>
        <w:adjustRightInd w:val="0"/>
        <w:spacing w:after="0" w:line="240" w:lineRule="auto"/>
        <w:jc w:val="both"/>
        <w:rPr>
          <w:rFonts w:ascii="SymbolMT" w:hAnsi="SymbolMT" w:cs="SymbolMT"/>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SymbolMT" w:hAnsi="SymbolMT" w:cs="SymbolMT"/>
          <w:sz w:val="20"/>
          <w:szCs w:val="20"/>
        </w:rPr>
        <w:t xml:space="preserve">• </w:t>
      </w:r>
      <w:r>
        <w:rPr>
          <w:rFonts w:ascii="Verdana" w:hAnsi="Verdana" w:cs="Verdana"/>
          <w:sz w:val="20"/>
          <w:szCs w:val="20"/>
        </w:rPr>
        <w:t>Informe Escrito (presentado en la postulación al Congreso): 30%.</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SymbolMT" w:hAnsi="SymbolMT" w:cs="SymbolMT"/>
          <w:sz w:val="20"/>
          <w:szCs w:val="20"/>
        </w:rPr>
        <w:t xml:space="preserve">• </w:t>
      </w:r>
      <w:r>
        <w:rPr>
          <w:rFonts w:ascii="Verdana" w:hAnsi="Verdana" w:cs="Verdana"/>
          <w:sz w:val="20"/>
          <w:szCs w:val="20"/>
        </w:rPr>
        <w:t>Presentación oral en modalidad virtual: 70%</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De todos los equipos participantes, 4 equipos se seleccionarán como representantes</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regionales para participar en el Congreso Nacional a realizarse el mes de enero del año</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2022. Los cuáles serán:</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a) un equipo de Investigación Escolar Educación Básica</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b) un equipo de Investigación Escolar Educación Media</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c) un equipo de Innovación Escolar Educación Básica</w:t>
      </w:r>
    </w:p>
    <w:p w:rsidR="00746355" w:rsidRDefault="00746355"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d) un equipo de Innovación Escolar Educación Media.</w:t>
      </w:r>
    </w:p>
    <w:p w:rsidR="00E215E2" w:rsidRDefault="00E215E2" w:rsidP="00746355">
      <w:pPr>
        <w:autoSpaceDE w:val="0"/>
        <w:autoSpaceDN w:val="0"/>
        <w:adjustRightInd w:val="0"/>
        <w:spacing w:after="0" w:line="240" w:lineRule="auto"/>
        <w:jc w:val="both"/>
        <w:rPr>
          <w:rFonts w:ascii="Verdana" w:hAnsi="Verdana" w:cs="Verdana"/>
          <w:sz w:val="20"/>
          <w:szCs w:val="20"/>
        </w:rPr>
      </w:pPr>
    </w:p>
    <w:p w:rsidR="00E215E2" w:rsidRPr="00E215E2" w:rsidRDefault="00E215E2" w:rsidP="00746355">
      <w:pPr>
        <w:autoSpaceDE w:val="0"/>
        <w:autoSpaceDN w:val="0"/>
        <w:adjustRightInd w:val="0"/>
        <w:spacing w:after="0" w:line="240" w:lineRule="auto"/>
        <w:jc w:val="both"/>
        <w:rPr>
          <w:rFonts w:ascii="Verdana" w:hAnsi="Verdana" w:cs="Verdana"/>
          <w:b/>
          <w:sz w:val="20"/>
          <w:szCs w:val="20"/>
        </w:rPr>
      </w:pPr>
      <w:r w:rsidRPr="00E215E2">
        <w:rPr>
          <w:rFonts w:ascii="Verdana" w:hAnsi="Verdana" w:cs="Verdana"/>
          <w:b/>
          <w:sz w:val="20"/>
          <w:szCs w:val="20"/>
        </w:rPr>
        <w:t>¿CÓMO SE DESARROLLARÁ EL CONGRESO REGIONAL EN LA REGIÓN DE ANTOFAGASTA?</w:t>
      </w:r>
    </w:p>
    <w:p w:rsidR="00746355" w:rsidRDefault="00746355" w:rsidP="00746355">
      <w:pPr>
        <w:autoSpaceDE w:val="0"/>
        <w:autoSpaceDN w:val="0"/>
        <w:adjustRightInd w:val="0"/>
        <w:spacing w:after="0" w:line="240" w:lineRule="auto"/>
        <w:jc w:val="both"/>
        <w:rPr>
          <w:rFonts w:ascii="Verdana" w:hAnsi="Verdana" w:cs="Verdana"/>
          <w:sz w:val="20"/>
          <w:szCs w:val="20"/>
        </w:rPr>
      </w:pPr>
    </w:p>
    <w:p w:rsidR="00E215E2" w:rsidRDefault="00E215E2" w:rsidP="0074635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El Congreso regional se desarrollará en modalidad mixta, d</w:t>
      </w:r>
      <w:r w:rsidR="0042166F">
        <w:rPr>
          <w:rFonts w:ascii="Verdana" w:hAnsi="Verdana" w:cs="Verdana"/>
          <w:sz w:val="20"/>
          <w:szCs w:val="20"/>
        </w:rPr>
        <w:t>onde las evaluaciones se harán en formato online y posteriormente se desarrollará una feria presencial para que los/as estudiantes puedan mostrar sus investigaciones a otros/as participantes.</w:t>
      </w:r>
    </w:p>
    <w:p w:rsidR="00E215E2" w:rsidRDefault="00E215E2" w:rsidP="00746355">
      <w:pPr>
        <w:autoSpaceDE w:val="0"/>
        <w:autoSpaceDN w:val="0"/>
        <w:adjustRightInd w:val="0"/>
        <w:spacing w:after="0" w:line="240" w:lineRule="auto"/>
        <w:jc w:val="both"/>
        <w:rPr>
          <w:rFonts w:ascii="Verdana" w:hAnsi="Verdana" w:cs="Verdana"/>
          <w:sz w:val="20"/>
          <w:szCs w:val="20"/>
        </w:rPr>
      </w:pPr>
    </w:p>
    <w:p w:rsidR="00746355" w:rsidRPr="00216D4C" w:rsidRDefault="00746355" w:rsidP="00746355">
      <w:pPr>
        <w:autoSpaceDE w:val="0"/>
        <w:autoSpaceDN w:val="0"/>
        <w:adjustRightInd w:val="0"/>
        <w:spacing w:after="0" w:line="240" w:lineRule="auto"/>
        <w:jc w:val="both"/>
        <w:rPr>
          <w:rFonts w:ascii="Verdana" w:hAnsi="Verdana" w:cs="Verdana"/>
          <w:b/>
          <w:sz w:val="20"/>
          <w:szCs w:val="20"/>
        </w:rPr>
      </w:pPr>
      <w:r w:rsidRPr="00216D4C">
        <w:rPr>
          <w:rFonts w:ascii="Verdana" w:hAnsi="Verdana" w:cs="Verdana"/>
          <w:b/>
          <w:sz w:val="20"/>
          <w:szCs w:val="20"/>
        </w:rPr>
        <w:t>CRONOGRAMA</w:t>
      </w:r>
    </w:p>
    <w:p w:rsidR="00746355" w:rsidRDefault="00746355" w:rsidP="00746355">
      <w:pPr>
        <w:autoSpaceDE w:val="0"/>
        <w:autoSpaceDN w:val="0"/>
        <w:adjustRightInd w:val="0"/>
        <w:spacing w:after="0" w:line="240" w:lineRule="auto"/>
        <w:jc w:val="both"/>
        <w:rPr>
          <w:rFonts w:ascii="Verdana" w:hAnsi="Verdana" w:cs="Verdana"/>
          <w:sz w:val="20"/>
          <w:szCs w:val="20"/>
        </w:rPr>
      </w:pPr>
    </w:p>
    <w:tbl>
      <w:tblPr>
        <w:tblStyle w:val="Tablaconcuadrcula"/>
        <w:tblW w:w="0" w:type="auto"/>
        <w:tblLook w:val="04A0" w:firstRow="1" w:lastRow="0" w:firstColumn="1" w:lastColumn="0" w:noHBand="0" w:noVBand="1"/>
      </w:tblPr>
      <w:tblGrid>
        <w:gridCol w:w="3397"/>
        <w:gridCol w:w="3119"/>
      </w:tblGrid>
      <w:tr w:rsidR="0042166F" w:rsidTr="00216D4C">
        <w:tc>
          <w:tcPr>
            <w:tcW w:w="3397" w:type="dxa"/>
          </w:tcPr>
          <w:p w:rsidR="0042166F" w:rsidRPr="00216D4C" w:rsidRDefault="0042166F" w:rsidP="00216D4C">
            <w:pPr>
              <w:autoSpaceDE w:val="0"/>
              <w:autoSpaceDN w:val="0"/>
              <w:adjustRightInd w:val="0"/>
              <w:jc w:val="center"/>
              <w:rPr>
                <w:rFonts w:ascii="Verdana" w:hAnsi="Verdana" w:cs="Verdana"/>
                <w:b/>
                <w:sz w:val="20"/>
                <w:szCs w:val="20"/>
              </w:rPr>
            </w:pPr>
            <w:r w:rsidRPr="00216D4C">
              <w:rPr>
                <w:rFonts w:ascii="Verdana" w:hAnsi="Verdana" w:cs="Verdana"/>
                <w:b/>
                <w:sz w:val="20"/>
                <w:szCs w:val="20"/>
              </w:rPr>
              <w:t>Actividad</w:t>
            </w:r>
          </w:p>
        </w:tc>
        <w:tc>
          <w:tcPr>
            <w:tcW w:w="3119" w:type="dxa"/>
          </w:tcPr>
          <w:p w:rsidR="0042166F" w:rsidRPr="00216D4C" w:rsidRDefault="0042166F" w:rsidP="00216D4C">
            <w:pPr>
              <w:autoSpaceDE w:val="0"/>
              <w:autoSpaceDN w:val="0"/>
              <w:adjustRightInd w:val="0"/>
              <w:jc w:val="center"/>
              <w:rPr>
                <w:rFonts w:ascii="Verdana" w:hAnsi="Verdana" w:cs="Verdana"/>
                <w:b/>
                <w:sz w:val="20"/>
                <w:szCs w:val="20"/>
              </w:rPr>
            </w:pPr>
            <w:r w:rsidRPr="00216D4C">
              <w:rPr>
                <w:rFonts w:ascii="Verdana" w:hAnsi="Verdana" w:cs="Verdana"/>
                <w:b/>
                <w:sz w:val="20"/>
                <w:szCs w:val="20"/>
              </w:rPr>
              <w:t>Fecha</w:t>
            </w:r>
          </w:p>
        </w:tc>
      </w:tr>
      <w:tr w:rsidR="0042166F" w:rsidTr="00216D4C">
        <w:tc>
          <w:tcPr>
            <w:tcW w:w="3397"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RECEPCIÓN DE INVESTIGACIONES</w:t>
            </w:r>
          </w:p>
        </w:tc>
        <w:tc>
          <w:tcPr>
            <w:tcW w:w="3119" w:type="dxa"/>
          </w:tcPr>
          <w:p w:rsidR="0042166F" w:rsidRDefault="0042166F" w:rsidP="0042166F">
            <w:pPr>
              <w:autoSpaceDE w:val="0"/>
              <w:autoSpaceDN w:val="0"/>
              <w:adjustRightInd w:val="0"/>
              <w:rPr>
                <w:rFonts w:ascii="Verdana" w:hAnsi="Verdana" w:cs="Verdana"/>
                <w:sz w:val="20"/>
                <w:szCs w:val="20"/>
              </w:rPr>
            </w:pPr>
            <w:r>
              <w:rPr>
                <w:rFonts w:ascii="Verdana" w:hAnsi="Verdana" w:cs="Verdana"/>
                <w:sz w:val="20"/>
                <w:szCs w:val="20"/>
              </w:rPr>
              <w:t>12-21 de O</w:t>
            </w:r>
            <w:bookmarkStart w:id="0" w:name="_GoBack"/>
            <w:bookmarkEnd w:id="0"/>
            <w:r>
              <w:rPr>
                <w:rFonts w:ascii="Verdana" w:hAnsi="Verdana" w:cs="Verdana"/>
                <w:sz w:val="20"/>
                <w:szCs w:val="20"/>
              </w:rPr>
              <w:t>ctubre</w:t>
            </w:r>
          </w:p>
        </w:tc>
      </w:tr>
      <w:tr w:rsidR="0042166F" w:rsidTr="00216D4C">
        <w:tc>
          <w:tcPr>
            <w:tcW w:w="3397" w:type="dxa"/>
          </w:tcPr>
          <w:p w:rsidR="0042166F" w:rsidRDefault="0042166F" w:rsidP="0042166F">
            <w:pPr>
              <w:autoSpaceDE w:val="0"/>
              <w:autoSpaceDN w:val="0"/>
              <w:adjustRightInd w:val="0"/>
              <w:rPr>
                <w:rFonts w:ascii="Verdana" w:hAnsi="Verdana" w:cs="Verdana"/>
                <w:sz w:val="20"/>
                <w:szCs w:val="20"/>
              </w:rPr>
            </w:pPr>
            <w:r>
              <w:rPr>
                <w:rFonts w:ascii="Verdana" w:hAnsi="Verdana" w:cs="Verdana"/>
                <w:sz w:val="20"/>
                <w:szCs w:val="20"/>
              </w:rPr>
              <w:t>PUBLICACIÓN DE LOS RESULTADOS</w:t>
            </w:r>
          </w:p>
        </w:tc>
        <w:tc>
          <w:tcPr>
            <w:tcW w:w="3119" w:type="dxa"/>
          </w:tcPr>
          <w:p w:rsidR="0042166F" w:rsidRDefault="0042166F" w:rsidP="0042166F">
            <w:pPr>
              <w:autoSpaceDE w:val="0"/>
              <w:autoSpaceDN w:val="0"/>
              <w:adjustRightInd w:val="0"/>
              <w:rPr>
                <w:rFonts w:ascii="Verdana" w:hAnsi="Verdana" w:cs="Verdana"/>
                <w:sz w:val="20"/>
                <w:szCs w:val="20"/>
              </w:rPr>
            </w:pPr>
            <w:r>
              <w:rPr>
                <w:rFonts w:ascii="Verdana" w:hAnsi="Verdana" w:cs="Verdana"/>
                <w:sz w:val="20"/>
                <w:szCs w:val="20"/>
              </w:rPr>
              <w:t>26 Octubre</w:t>
            </w:r>
          </w:p>
        </w:tc>
      </w:tr>
      <w:tr w:rsidR="0042166F" w:rsidTr="00216D4C">
        <w:tc>
          <w:tcPr>
            <w:tcW w:w="3397" w:type="dxa"/>
          </w:tcPr>
          <w:p w:rsidR="0042166F" w:rsidRDefault="0042166F" w:rsidP="0042166F">
            <w:pPr>
              <w:autoSpaceDE w:val="0"/>
              <w:autoSpaceDN w:val="0"/>
              <w:adjustRightInd w:val="0"/>
              <w:rPr>
                <w:rFonts w:ascii="Verdana" w:hAnsi="Verdana" w:cs="Verdana"/>
                <w:sz w:val="20"/>
                <w:szCs w:val="20"/>
              </w:rPr>
            </w:pPr>
            <w:r>
              <w:rPr>
                <w:rFonts w:ascii="Verdana" w:hAnsi="Verdana" w:cs="Verdana"/>
                <w:sz w:val="20"/>
                <w:szCs w:val="20"/>
              </w:rPr>
              <w:t>ENSAYO GENERAL</w:t>
            </w:r>
          </w:p>
        </w:tc>
        <w:tc>
          <w:tcPr>
            <w:tcW w:w="3119" w:type="dxa"/>
          </w:tcPr>
          <w:p w:rsidR="0042166F" w:rsidRDefault="0042166F" w:rsidP="0042166F">
            <w:pPr>
              <w:autoSpaceDE w:val="0"/>
              <w:autoSpaceDN w:val="0"/>
              <w:adjustRightInd w:val="0"/>
              <w:rPr>
                <w:rFonts w:ascii="Verdana" w:hAnsi="Verdana" w:cs="Verdana"/>
                <w:sz w:val="20"/>
                <w:szCs w:val="20"/>
              </w:rPr>
            </w:pPr>
            <w:r>
              <w:rPr>
                <w:rFonts w:ascii="Verdana" w:hAnsi="Verdana" w:cs="Verdana"/>
                <w:sz w:val="20"/>
                <w:szCs w:val="20"/>
              </w:rPr>
              <w:t>2 de noviembre</w:t>
            </w:r>
          </w:p>
        </w:tc>
      </w:tr>
      <w:tr w:rsidR="0042166F" w:rsidTr="00216D4C">
        <w:tc>
          <w:tcPr>
            <w:tcW w:w="3397"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1° JORNADA DE EVALUACIONES (</w:t>
            </w:r>
          </w:p>
        </w:tc>
        <w:tc>
          <w:tcPr>
            <w:tcW w:w="3119"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7 de noviembre</w:t>
            </w:r>
          </w:p>
        </w:tc>
      </w:tr>
      <w:tr w:rsidR="0042166F" w:rsidTr="00216D4C">
        <w:tc>
          <w:tcPr>
            <w:tcW w:w="3397"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2° JORNADA DE EVALUACIONES</w:t>
            </w:r>
          </w:p>
        </w:tc>
        <w:tc>
          <w:tcPr>
            <w:tcW w:w="3119"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8 de noviembre</w:t>
            </w:r>
          </w:p>
        </w:tc>
      </w:tr>
      <w:tr w:rsidR="0042166F" w:rsidTr="00216D4C">
        <w:tc>
          <w:tcPr>
            <w:tcW w:w="3397"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FERIA EXPOSICIÓN Y CEREMONIA FINAL</w:t>
            </w:r>
          </w:p>
        </w:tc>
        <w:tc>
          <w:tcPr>
            <w:tcW w:w="3119" w:type="dxa"/>
          </w:tcPr>
          <w:p w:rsidR="0042166F" w:rsidRDefault="0042166F" w:rsidP="00216D4C">
            <w:pPr>
              <w:autoSpaceDE w:val="0"/>
              <w:autoSpaceDN w:val="0"/>
              <w:adjustRightInd w:val="0"/>
              <w:rPr>
                <w:rFonts w:ascii="Verdana" w:hAnsi="Verdana" w:cs="Verdana"/>
                <w:sz w:val="20"/>
                <w:szCs w:val="20"/>
              </w:rPr>
            </w:pPr>
            <w:r>
              <w:rPr>
                <w:rFonts w:ascii="Verdana" w:hAnsi="Verdana" w:cs="Verdana"/>
                <w:sz w:val="20"/>
                <w:szCs w:val="20"/>
              </w:rPr>
              <w:t>9 de noviembre</w:t>
            </w:r>
          </w:p>
        </w:tc>
      </w:tr>
    </w:tbl>
    <w:p w:rsidR="00746355" w:rsidRPr="00746355" w:rsidRDefault="00746355" w:rsidP="00746355">
      <w:pPr>
        <w:autoSpaceDE w:val="0"/>
        <w:autoSpaceDN w:val="0"/>
        <w:adjustRightInd w:val="0"/>
        <w:spacing w:after="0" w:line="240" w:lineRule="auto"/>
        <w:jc w:val="both"/>
        <w:rPr>
          <w:rFonts w:ascii="Verdana" w:hAnsi="Verdana" w:cs="Verdana"/>
          <w:sz w:val="20"/>
          <w:szCs w:val="20"/>
        </w:rPr>
      </w:pPr>
    </w:p>
    <w:sectPr w:rsidR="00746355" w:rsidRPr="00746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55"/>
    <w:rsid w:val="000C679F"/>
    <w:rsid w:val="00216D4C"/>
    <w:rsid w:val="002B2239"/>
    <w:rsid w:val="0042166F"/>
    <w:rsid w:val="00746355"/>
    <w:rsid w:val="00E215E2"/>
    <w:rsid w:val="00FD41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8F35"/>
  <w15:chartTrackingRefBased/>
  <w15:docId w15:val="{496AFA73-BFCF-451F-92B4-9AC50BD6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6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787</Words>
  <Characters>4332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Niela</dc:creator>
  <cp:keywords/>
  <dc:description/>
  <cp:lastModifiedBy>Niela</cp:lastModifiedBy>
  <cp:revision>2</cp:revision>
  <dcterms:created xsi:type="dcterms:W3CDTF">2021-10-21T13:36:00Z</dcterms:created>
  <dcterms:modified xsi:type="dcterms:W3CDTF">2022-08-05T14:41:00Z</dcterms:modified>
</cp:coreProperties>
</file>